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F41F3E" w:rsidRDefault="002A375D" w:rsidP="002A375D">
      <w:pPr>
        <w:rPr>
          <w:rFonts w:ascii="Tahoma" w:hAnsi="Tahoma" w:cs="Tahoma"/>
          <w:b/>
          <w:bCs/>
          <w:sz w:val="20"/>
          <w:szCs w:val="20"/>
        </w:rPr>
      </w:pPr>
    </w:p>
    <w:p w:rsidR="00F41F3E" w:rsidRPr="00F41F3E" w:rsidRDefault="00B94006" w:rsidP="00F41F3E">
      <w:pPr>
        <w:pStyle w:val="Tekstpodstawowy21"/>
        <w:spacing w:after="0" w:line="240" w:lineRule="auto"/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P.T. Wykonawcy wszyscy</w:t>
      </w:r>
    </w:p>
    <w:p w:rsidR="00B414A1" w:rsidRPr="00F41F3E" w:rsidRDefault="00B414A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F41F3E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F41F3E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41F3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F41F3E">
        <w:rPr>
          <w:rFonts w:ascii="Tahoma" w:hAnsi="Tahoma" w:cs="Tahoma"/>
          <w:sz w:val="20"/>
          <w:szCs w:val="20"/>
        </w:rPr>
        <w:t>DA.271-</w:t>
      </w:r>
      <w:r w:rsidR="001F4C3B" w:rsidRPr="00F41F3E">
        <w:rPr>
          <w:rFonts w:ascii="Tahoma" w:hAnsi="Tahoma" w:cs="Tahoma"/>
          <w:sz w:val="20"/>
          <w:szCs w:val="20"/>
        </w:rPr>
        <w:t>7</w:t>
      </w:r>
      <w:r w:rsidR="00F41F3E" w:rsidRPr="00F41F3E">
        <w:rPr>
          <w:rFonts w:ascii="Tahoma" w:hAnsi="Tahoma" w:cs="Tahoma"/>
          <w:sz w:val="20"/>
          <w:szCs w:val="20"/>
        </w:rPr>
        <w:t>4-6</w:t>
      </w:r>
      <w:r w:rsidR="00536031" w:rsidRPr="00F41F3E">
        <w:rPr>
          <w:rFonts w:ascii="Tahoma" w:hAnsi="Tahoma" w:cs="Tahoma"/>
          <w:sz w:val="20"/>
          <w:szCs w:val="20"/>
        </w:rPr>
        <w:t>/17</w:t>
      </w:r>
      <w:r w:rsidR="00933217" w:rsidRPr="00F41F3E">
        <w:rPr>
          <w:rFonts w:ascii="Tahoma" w:hAnsi="Tahoma" w:cs="Tahoma"/>
          <w:noProof/>
          <w:sz w:val="20"/>
          <w:szCs w:val="20"/>
        </w:rPr>
        <w:t xml:space="preserve"> </w:t>
      </w:r>
      <w:r w:rsidR="00933217" w:rsidRPr="00F41F3E">
        <w:rPr>
          <w:rFonts w:ascii="Tahoma" w:hAnsi="Tahoma" w:cs="Tahoma"/>
          <w:noProof/>
          <w:sz w:val="20"/>
          <w:szCs w:val="20"/>
        </w:rPr>
        <w:tab/>
      </w:r>
      <w:r w:rsidR="00933217" w:rsidRPr="00F41F3E">
        <w:rPr>
          <w:rFonts w:ascii="Tahoma" w:hAnsi="Tahoma" w:cs="Tahoma"/>
          <w:noProof/>
          <w:sz w:val="20"/>
          <w:szCs w:val="20"/>
        </w:rPr>
        <w:tab/>
      </w:r>
      <w:r w:rsidR="00933217" w:rsidRPr="00F41F3E">
        <w:rPr>
          <w:rFonts w:ascii="Tahoma" w:hAnsi="Tahoma" w:cs="Tahoma"/>
          <w:noProof/>
          <w:sz w:val="20"/>
          <w:szCs w:val="20"/>
        </w:rPr>
        <w:tab/>
      </w:r>
      <w:r w:rsidR="00933217" w:rsidRPr="00F41F3E">
        <w:rPr>
          <w:rFonts w:ascii="Tahoma" w:hAnsi="Tahoma" w:cs="Tahoma"/>
          <w:noProof/>
          <w:sz w:val="20"/>
          <w:szCs w:val="20"/>
        </w:rPr>
        <w:tab/>
      </w:r>
      <w:r w:rsidR="004B0A64" w:rsidRPr="00F41F3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F41F3E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F41F3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41F3E" w:rsidRPr="00F41F3E">
        <w:rPr>
          <w:rFonts w:ascii="Tahoma" w:hAnsi="Tahoma" w:cs="Tahoma"/>
          <w:noProof/>
          <w:sz w:val="20"/>
          <w:szCs w:val="20"/>
        </w:rPr>
        <w:t>20</w:t>
      </w:r>
      <w:r w:rsidR="00E402CF" w:rsidRPr="00F41F3E">
        <w:rPr>
          <w:rFonts w:ascii="Tahoma" w:hAnsi="Tahoma" w:cs="Tahoma"/>
          <w:noProof/>
          <w:sz w:val="20"/>
          <w:szCs w:val="20"/>
        </w:rPr>
        <w:t xml:space="preserve"> grudnia</w:t>
      </w:r>
      <w:r w:rsidR="003D3CFF" w:rsidRPr="00F41F3E">
        <w:rPr>
          <w:rFonts w:ascii="Tahoma" w:hAnsi="Tahoma" w:cs="Tahoma"/>
          <w:noProof/>
          <w:sz w:val="20"/>
          <w:szCs w:val="20"/>
        </w:rPr>
        <w:t xml:space="preserve"> </w:t>
      </w:r>
      <w:r w:rsidR="00536031" w:rsidRPr="00F41F3E">
        <w:rPr>
          <w:rFonts w:ascii="Tahoma" w:hAnsi="Tahoma" w:cs="Tahoma"/>
          <w:noProof/>
          <w:sz w:val="20"/>
          <w:szCs w:val="20"/>
        </w:rPr>
        <w:t>2017</w:t>
      </w:r>
      <w:r w:rsidR="0047228C" w:rsidRPr="00F41F3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41F3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41F3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F41F3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F41F3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F41F3E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F41F3E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F41F3E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41F3E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F41F3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F41F3E">
        <w:rPr>
          <w:rFonts w:ascii="Tahoma" w:hAnsi="Tahoma" w:cs="Tahoma"/>
          <w:sz w:val="20"/>
          <w:szCs w:val="20"/>
        </w:rPr>
        <w:t>SIWZ</w:t>
      </w:r>
      <w:r w:rsidRPr="00F41F3E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F41F3E">
        <w:rPr>
          <w:rFonts w:ascii="Tahoma" w:hAnsi="Tahoma" w:cs="Tahoma"/>
          <w:b/>
          <w:sz w:val="20"/>
          <w:szCs w:val="20"/>
        </w:rPr>
        <w:t xml:space="preserve">na </w:t>
      </w:r>
      <w:r w:rsidR="00F41F3E" w:rsidRPr="00F41F3E">
        <w:rPr>
          <w:rFonts w:ascii="Tahoma" w:eastAsia="PMingLiU" w:hAnsi="Tahoma" w:cs="Tahoma"/>
          <w:b/>
          <w:bCs/>
          <w:sz w:val="20"/>
          <w:szCs w:val="20"/>
        </w:rPr>
        <w:t xml:space="preserve">dostawę odczynników do identyfikacji oraz oceny </w:t>
      </w:r>
      <w:proofErr w:type="spellStart"/>
      <w:r w:rsidR="00F41F3E" w:rsidRPr="00F41F3E">
        <w:rPr>
          <w:rFonts w:ascii="Tahoma" w:eastAsia="PMingLiU" w:hAnsi="Tahoma" w:cs="Tahoma"/>
          <w:b/>
          <w:bCs/>
          <w:sz w:val="20"/>
          <w:szCs w:val="20"/>
        </w:rPr>
        <w:t>lekowrażliwości</w:t>
      </w:r>
      <w:proofErr w:type="spellEnd"/>
      <w:r w:rsidR="00F41F3E" w:rsidRPr="00F41F3E">
        <w:rPr>
          <w:rFonts w:ascii="Tahoma" w:eastAsia="PMingLiU" w:hAnsi="Tahoma" w:cs="Tahoma"/>
          <w:b/>
          <w:bCs/>
          <w:sz w:val="20"/>
          <w:szCs w:val="20"/>
        </w:rPr>
        <w:t xml:space="preserve"> drobnoustrojów wraz z dzierżawą aparatu oraz odczynników  do posiewu krwi i płynów ustrojowych wraz z dzierżawą aparatu, </w:t>
      </w:r>
      <w:r w:rsidR="00E402CF" w:rsidRPr="00F41F3E">
        <w:rPr>
          <w:rFonts w:ascii="Tahoma" w:hAnsi="Tahoma" w:cs="Tahoma"/>
          <w:b/>
          <w:sz w:val="20"/>
          <w:szCs w:val="20"/>
        </w:rPr>
        <w:t xml:space="preserve"> </w:t>
      </w:r>
      <w:r w:rsidRPr="00F41F3E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F41F3E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A4F32" w:rsidRPr="00F41F3E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color w:val="000000"/>
          <w:sz w:val="20"/>
          <w:szCs w:val="20"/>
        </w:rPr>
        <w:t>Pytanie 1:</w:t>
      </w:r>
    </w:p>
    <w:p w:rsidR="00EA2A56" w:rsidRDefault="00F41F3E" w:rsidP="00E6300E">
      <w:pPr>
        <w:ind w:right="423"/>
        <w:jc w:val="both"/>
        <w:rPr>
          <w:rFonts w:ascii="Tahoma" w:eastAsia="PMingLiU" w:hAnsi="Tahoma" w:cs="Tahoma"/>
          <w:color w:val="FF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Część 2 </w:t>
      </w:r>
      <w:proofErr w:type="spellStart"/>
      <w:r w:rsidRPr="00F41F3E">
        <w:rPr>
          <w:rFonts w:ascii="Tahoma" w:eastAsia="PMingLiU" w:hAnsi="Tahoma" w:cs="Tahoma"/>
          <w:color w:val="000000"/>
          <w:sz w:val="20"/>
          <w:szCs w:val="20"/>
        </w:rPr>
        <w:t>pkt</w:t>
      </w:r>
      <w:proofErr w:type="spellEnd"/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 5. Czy Zamawiający wyraża zgodę na załączenie dokumentów tj. dokładną specyfikację oferowanego produktu wraz z  metodyką i kartami charakterystyki substancji niebezpiecznych  oraz instrukcje użytkowe oferowanego analizatora w wersji elektronicznej na CD – lub osobno z bindowanej i podpisanej tylko na pierwszej stronie ? </w:t>
      </w:r>
      <w:r w:rsidRPr="00F41F3E">
        <w:rPr>
          <w:rFonts w:ascii="Tahoma" w:eastAsia="PMingLiU" w:hAnsi="Tahoma" w:cs="Tahoma"/>
          <w:color w:val="FF0000"/>
          <w:sz w:val="20"/>
          <w:szCs w:val="20"/>
        </w:rPr>
        <w:t xml:space="preserve"> 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FF0000"/>
          <w:sz w:val="20"/>
          <w:szCs w:val="20"/>
        </w:rPr>
      </w:pPr>
      <w:r w:rsidRPr="00F41F3E">
        <w:rPr>
          <w:rFonts w:ascii="Tahoma" w:eastAsia="PMingLiU" w:hAnsi="Tahoma" w:cs="Tahoma"/>
          <w:b/>
          <w:sz w:val="20"/>
          <w:szCs w:val="20"/>
        </w:rPr>
        <w:t>Odpowiedz: TAK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color w:val="000000"/>
          <w:sz w:val="20"/>
          <w:szCs w:val="20"/>
        </w:rPr>
        <w:t>Pytanie 2: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Załącznik nr 1 oferta – Czy Zamawiający wyraża zgodę aby w formularzu ofertowym zostawić wycenę tylko tych pakietów na które składana jest oferta?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  <w:r w:rsidRPr="00F41F3E">
        <w:rPr>
          <w:rFonts w:ascii="Tahoma" w:eastAsia="PMingLiU" w:hAnsi="Tahoma" w:cs="Tahoma"/>
          <w:b/>
          <w:sz w:val="20"/>
          <w:szCs w:val="20"/>
        </w:rPr>
        <w:t>Odpowiedz: NIE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</w:p>
    <w:p w:rsidR="00F41F3E" w:rsidRPr="00F41F3E" w:rsidRDefault="004C73A2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>
        <w:rPr>
          <w:rFonts w:ascii="Tahoma" w:eastAsia="PMingLiU" w:hAnsi="Tahoma" w:cs="Tahoma"/>
          <w:b/>
          <w:color w:val="000000"/>
          <w:sz w:val="20"/>
          <w:szCs w:val="20"/>
        </w:rPr>
        <w:t xml:space="preserve"> </w:t>
      </w:r>
      <w:r w:rsidR="00F41F3E" w:rsidRPr="00F41F3E">
        <w:rPr>
          <w:rFonts w:ascii="Tahoma" w:eastAsia="PMingLiU" w:hAnsi="Tahoma" w:cs="Tahoma"/>
          <w:b/>
          <w:color w:val="000000"/>
          <w:sz w:val="20"/>
          <w:szCs w:val="20"/>
        </w:rPr>
        <w:t xml:space="preserve">Zadanie1 -  1B parametry graniczne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color w:val="000000"/>
          <w:sz w:val="20"/>
          <w:szCs w:val="20"/>
        </w:rPr>
        <w:t>Pytanie 3: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Zamawiający określił „ parametry graniczne „w sposób który nie pozwala na złożenie oferty innych wykonawcom poza ofertą firmy </w:t>
      </w:r>
      <w:proofErr w:type="spellStart"/>
      <w:r w:rsidRPr="00F41F3E">
        <w:rPr>
          <w:rFonts w:ascii="Tahoma" w:eastAsia="PMingLiU" w:hAnsi="Tahoma" w:cs="Tahoma"/>
          <w:color w:val="000000"/>
          <w:sz w:val="20"/>
          <w:szCs w:val="20"/>
        </w:rPr>
        <w:t>bioMerieux</w:t>
      </w:r>
      <w:proofErr w:type="spellEnd"/>
      <w:r w:rsidRPr="00F41F3E">
        <w:rPr>
          <w:rFonts w:ascii="Tahoma" w:eastAsia="PMingLiU" w:hAnsi="Tahoma" w:cs="Tahoma"/>
          <w:color w:val="000000"/>
          <w:sz w:val="20"/>
          <w:szCs w:val="20"/>
        </w:rPr>
        <w:t>. Dodatkowo Zamawiający przyznaje punkty oceniane również tylko dla  jednej firmy.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>Czy Zamawiający wyraża zgodę na zmianę parametrów granicznych w zakresie:</w:t>
      </w:r>
    </w:p>
    <w:p w:rsidR="00F41F3E" w:rsidRPr="00F41F3E" w:rsidRDefault="00F41F3E" w:rsidP="00E6300E">
      <w:pPr>
        <w:numPr>
          <w:ilvl w:val="0"/>
          <w:numId w:val="11"/>
        </w:numPr>
        <w:ind w:left="349"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Pkt.2 i zmianę zapisu na :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„Pełna automatyzacja wykonywanych badań ,inkubacja ,odczyt przez aparat, możliwość napełnienia paneli automatycznie poprzez specjalne urządzenie przeznaczone do przeniesienia zawiesiny na panel oraz możliwość usunięcia paneli z analizatora automatycznie lub manualnie.”? </w:t>
      </w: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Uzasadnienie: Testy(karty/panele) , inkubowane w analizatorze są zaopatrzone w przykrywki, z uwagi na inną technologię sposób napełniania ,inkubacji a także usuwania zużytych testów  w analizatorze jest odmienny niż w analizatorze firmy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bioMerieux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,zatem sposób opisu parametru granicznego w tych zakresach  niezasadny .Sugerowanie iż każdy inny sposób wykonania identyfikacji i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lekowrażliwości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poza aparatem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Vitek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2 Compact firmy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bioMerieux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jest zagrożeniem dla kontaminacji środowiska czy tez zakażenia personelu jest nieprawdziwe. System z ponad 30 letnią tradycją który oferujemy spełnia wszystkie normy i jest dopuszczony zarówno na rynku amerykańskim jak i europejskim.</w:t>
      </w: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Został on również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zwalidowane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przez Centralny Ośrodek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ds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lekowrażliwości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i uzyskane wyniki w niczym nie odbiegają od innych analizatorów na rynku polskim. </w:t>
      </w: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Jakość wyniku identyfikacji czy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lekowrażliwości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nie jest uzależniony od sposobu w jaki analizator tego dokonuje i nie powinien  mieć wpływu na parametr graniczny specyfikacji, natomiast tego </w:t>
      </w:r>
      <w:r w:rsidRPr="00E6300E">
        <w:rPr>
          <w:rFonts w:ascii="Tahoma" w:eastAsia="PMingLiU" w:hAnsi="Tahoma" w:cs="Tahoma"/>
          <w:sz w:val="20"/>
          <w:szCs w:val="20"/>
        </w:rPr>
        <w:lastRenderedPageBreak/>
        <w:t>rodzaju opis może stanowić parametr oceniany o ile Zamawiający chce wyróżnić taką cechę aparatu .</w:t>
      </w:r>
    </w:p>
    <w:p w:rsidR="00A811B4" w:rsidRPr="00F41F3E" w:rsidRDefault="00A811B4" w:rsidP="00A811B4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sz w:val="20"/>
          <w:szCs w:val="20"/>
        </w:rPr>
        <w:t>Odpowiedz: NIE.</w:t>
      </w:r>
      <w:r w:rsidRPr="00F41F3E">
        <w:rPr>
          <w:rFonts w:ascii="Tahoma" w:eastAsia="PMingLiU" w:hAnsi="Tahoma" w:cs="Tahoma"/>
          <w:color w:val="FF0000"/>
          <w:sz w:val="20"/>
          <w:szCs w:val="20"/>
        </w:rPr>
        <w:t xml:space="preserve"> </w:t>
      </w:r>
      <w:r w:rsidRPr="00F41F3E">
        <w:rPr>
          <w:rFonts w:ascii="Tahoma" w:eastAsia="PMingLiU" w:hAnsi="Tahoma" w:cs="Tahoma"/>
          <w:b/>
          <w:sz w:val="20"/>
          <w:szCs w:val="20"/>
        </w:rPr>
        <w:t>Zamawiający oczekuje automatyzacji wykonywanych badań. Zamawiający nie sugeruje że każdy inny system jest zagrożeniem dla środowiska czy personelu i przyjmuje do wiadomości że proponowane przez Państwa urządzenie spełnia wymagane normy bezpieczeństwa</w:t>
      </w:r>
      <w:r w:rsidRPr="00F41F3E">
        <w:rPr>
          <w:rFonts w:ascii="Tahoma" w:eastAsia="PMingLiU" w:hAnsi="Tahoma" w:cs="Tahoma"/>
          <w:sz w:val="20"/>
          <w:szCs w:val="20"/>
        </w:rPr>
        <w:t>.</w:t>
      </w:r>
      <w:r w:rsidRPr="00F41F3E">
        <w:rPr>
          <w:rFonts w:ascii="Tahoma" w:eastAsia="PMingLiU" w:hAnsi="Tahoma" w:cs="Tahoma"/>
          <w:color w:val="FF0000"/>
          <w:sz w:val="20"/>
          <w:szCs w:val="20"/>
        </w:rPr>
        <w:t xml:space="preserve"> </w:t>
      </w:r>
    </w:p>
    <w:p w:rsidR="00A811B4" w:rsidRDefault="00A811B4" w:rsidP="00A811B4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  <w:r w:rsidRPr="00E6300E">
        <w:rPr>
          <w:rFonts w:ascii="Tahoma" w:eastAsia="PMingLiU" w:hAnsi="Tahoma" w:cs="Tahoma"/>
          <w:b/>
          <w:sz w:val="20"/>
          <w:szCs w:val="20"/>
        </w:rPr>
        <w:t>Pytanie 4:</w:t>
      </w:r>
    </w:p>
    <w:p w:rsidR="00F41F3E" w:rsidRPr="00F41F3E" w:rsidRDefault="00F41F3E" w:rsidP="00E6300E">
      <w:pPr>
        <w:ind w:left="-720"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           Pkt.6 i zmianę zapisu na :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Graficzna lub /i angielska wersja oprogramowania .?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>Uzasadnienie: obecnie żaden system na rynku nie ma wyłącznie graficznej wersji oprogramowania zatem ten punkt nie może być spełniony przez żadną z firm.</w:t>
      </w:r>
    </w:p>
    <w:p w:rsidR="00F41F3E" w:rsidRPr="00E6300E" w:rsidRDefault="00F41F3E" w:rsidP="00E6300E">
      <w:pPr>
        <w:ind w:right="423" w:firstLine="698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Zmiana ta spowoduje, że w postępowaniu będzie mogła wziąć udział większa liczba wykonawców co zwiększy konkurencyjność ofert. </w:t>
      </w:r>
    </w:p>
    <w:p w:rsidR="00A811B4" w:rsidRPr="00F41F3E" w:rsidRDefault="00A811B4" w:rsidP="00A811B4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  <w:r w:rsidRPr="00F41F3E">
        <w:rPr>
          <w:rFonts w:ascii="Tahoma" w:eastAsia="PMingLiU" w:hAnsi="Tahoma" w:cs="Tahoma"/>
          <w:b/>
          <w:sz w:val="20"/>
          <w:szCs w:val="20"/>
        </w:rPr>
        <w:t>Odpowiedz: TAK</w:t>
      </w:r>
    </w:p>
    <w:p w:rsidR="00E6300E" w:rsidRPr="00E6300E" w:rsidRDefault="00E6300E" w:rsidP="00E6300E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color w:val="000000"/>
          <w:sz w:val="20"/>
          <w:szCs w:val="20"/>
        </w:rPr>
        <w:t>Pytanie 5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b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b/>
          <w:color w:val="000000"/>
          <w:sz w:val="20"/>
          <w:szCs w:val="20"/>
        </w:rPr>
        <w:t xml:space="preserve">Zadanie 1 -1A formularz cenowy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Poz.2 „Testy do oznaczanie </w:t>
      </w:r>
      <w:proofErr w:type="spellStart"/>
      <w:r w:rsidRPr="00F41F3E">
        <w:rPr>
          <w:rFonts w:ascii="Tahoma" w:eastAsia="PMingLiU" w:hAnsi="Tahoma" w:cs="Tahoma"/>
          <w:color w:val="000000"/>
          <w:sz w:val="20"/>
          <w:szCs w:val="20"/>
        </w:rPr>
        <w:t>lekowrażliwości</w:t>
      </w:r>
      <w:proofErr w:type="spellEnd"/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 bakterii gram ujemnych ,gram dodatnich i drożdżaków...” Czy Zamawiający wyraża zgodę na zaoferowanie testów do określania </w:t>
      </w:r>
      <w:proofErr w:type="spellStart"/>
      <w:r w:rsidRPr="00F41F3E">
        <w:rPr>
          <w:rFonts w:ascii="Tahoma" w:eastAsia="PMingLiU" w:hAnsi="Tahoma" w:cs="Tahoma"/>
          <w:color w:val="000000"/>
          <w:sz w:val="20"/>
          <w:szCs w:val="20"/>
        </w:rPr>
        <w:t>lekowrażliwości</w:t>
      </w:r>
      <w:proofErr w:type="spellEnd"/>
      <w:r w:rsidRPr="00F41F3E">
        <w:rPr>
          <w:rFonts w:ascii="Tahoma" w:eastAsia="PMingLiU" w:hAnsi="Tahoma" w:cs="Tahoma"/>
          <w:color w:val="000000"/>
          <w:sz w:val="20"/>
          <w:szCs w:val="20"/>
        </w:rPr>
        <w:t xml:space="preserve"> metoda automatyczną lub manualną i jednocześnie prosimy o wskazanie  jaka ilość tych testów będzie wykonywana w skali jednego roku? </w:t>
      </w:r>
    </w:p>
    <w:p w:rsidR="00F41F3E" w:rsidRPr="00F41F3E" w:rsidRDefault="00F41F3E" w:rsidP="00E6300E">
      <w:pPr>
        <w:ind w:right="423"/>
        <w:jc w:val="both"/>
        <w:rPr>
          <w:rFonts w:ascii="Tahoma" w:eastAsia="PMingLiU" w:hAnsi="Tahoma" w:cs="Tahoma"/>
          <w:color w:val="000000"/>
          <w:sz w:val="20"/>
          <w:szCs w:val="20"/>
        </w:rPr>
      </w:pP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Uzasadnienie: Zamawiający określa w parametrach granicznych rodzaj bakterii które muszą być identyfikowane na analizatorze natomiast nie określa rodzaju testów do określania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lekowrażliwości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,natomiast umieszcza je w asortymencie w formularzu cenowym.</w:t>
      </w: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Lekowrażliwość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dla grzybów wykonywana w sposób automatyczny jest cechą charakterystyczną tylko dla systemu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Vitek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2 Compact , co sprawia iż żaden inny oferent na rynku nie jest w stanie zaoferować innego analizatora za wyjątkiem firmy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bioMerieux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>.</w:t>
      </w:r>
    </w:p>
    <w:p w:rsidR="00F41F3E" w:rsidRPr="00E6300E" w:rsidRDefault="00F41F3E" w:rsidP="00E6300E">
      <w:pPr>
        <w:ind w:right="423"/>
        <w:jc w:val="both"/>
        <w:rPr>
          <w:rFonts w:ascii="Tahoma" w:eastAsia="PMingLiU" w:hAnsi="Tahoma" w:cs="Tahoma"/>
          <w:sz w:val="20"/>
          <w:szCs w:val="20"/>
        </w:rPr>
      </w:pPr>
      <w:r w:rsidRPr="00E6300E">
        <w:rPr>
          <w:rFonts w:ascii="Tahoma" w:eastAsia="PMingLiU" w:hAnsi="Tahoma" w:cs="Tahoma"/>
          <w:sz w:val="20"/>
          <w:szCs w:val="20"/>
        </w:rPr>
        <w:t xml:space="preserve">Zatem jeśli Zamawiający nie umieszcza wyżej wymienionych testów  w parametrach granicznych mogą one stanowić punkt w parametrach ocenianych jako wyróżnik dla jednej z firm na rynku pozostawiając możliwość zaoferowania testów do oznaczania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lekowrażliwości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 xml:space="preserve"> grzybów metodą  manualną innym oferentom nie przyznając im punktacji a  jednocześnie umożliwić złożenie oferty innym firmom niż </w:t>
      </w:r>
      <w:proofErr w:type="spellStart"/>
      <w:r w:rsidRPr="00E6300E">
        <w:rPr>
          <w:rFonts w:ascii="Tahoma" w:eastAsia="PMingLiU" w:hAnsi="Tahoma" w:cs="Tahoma"/>
          <w:sz w:val="20"/>
          <w:szCs w:val="20"/>
        </w:rPr>
        <w:t>bioMerieux</w:t>
      </w:r>
      <w:proofErr w:type="spellEnd"/>
      <w:r w:rsidRPr="00E6300E">
        <w:rPr>
          <w:rFonts w:ascii="Tahoma" w:eastAsia="PMingLiU" w:hAnsi="Tahoma" w:cs="Tahoma"/>
          <w:sz w:val="20"/>
          <w:szCs w:val="20"/>
        </w:rPr>
        <w:t>.</w:t>
      </w:r>
    </w:p>
    <w:p w:rsidR="00E402CF" w:rsidRPr="00F41F3E" w:rsidRDefault="00E402CF" w:rsidP="00E6300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A811B4" w:rsidRPr="00F41F3E" w:rsidRDefault="00A811B4" w:rsidP="00A811B4">
      <w:pPr>
        <w:ind w:right="423"/>
        <w:jc w:val="both"/>
        <w:rPr>
          <w:rFonts w:ascii="Tahoma" w:eastAsia="PMingLiU" w:hAnsi="Tahoma" w:cs="Tahoma"/>
          <w:b/>
          <w:sz w:val="20"/>
          <w:szCs w:val="20"/>
        </w:rPr>
      </w:pPr>
      <w:r w:rsidRPr="00F41F3E">
        <w:rPr>
          <w:rFonts w:ascii="Tahoma" w:eastAsia="PMingLiU" w:hAnsi="Tahoma" w:cs="Tahoma"/>
          <w:b/>
          <w:sz w:val="20"/>
          <w:szCs w:val="20"/>
        </w:rPr>
        <w:t>Odpowiedz: NIE</w:t>
      </w:r>
    </w:p>
    <w:p w:rsidR="00F41F3E" w:rsidRPr="00F41F3E" w:rsidRDefault="00F41F3E" w:rsidP="00E6300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sectPr w:rsidR="00F41F3E" w:rsidRPr="00F41F3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4B" w:rsidRDefault="006B654B">
      <w:r>
        <w:separator/>
      </w:r>
    </w:p>
  </w:endnote>
  <w:endnote w:type="continuationSeparator" w:id="0">
    <w:p w:rsidR="006B654B" w:rsidRDefault="006B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3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633C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4B" w:rsidRDefault="006B654B">
      <w:r>
        <w:separator/>
      </w:r>
    </w:p>
  </w:footnote>
  <w:footnote w:type="continuationSeparator" w:id="0">
    <w:p w:rsidR="006B654B" w:rsidRDefault="006B6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3C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633C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A4F32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F18F3"/>
    <w:rsid w:val="001F2054"/>
    <w:rsid w:val="001F4C3B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66FF8"/>
    <w:rsid w:val="00271E06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75056"/>
    <w:rsid w:val="00381B36"/>
    <w:rsid w:val="003850BF"/>
    <w:rsid w:val="00387EE7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BF8"/>
    <w:rsid w:val="005009A8"/>
    <w:rsid w:val="005107FC"/>
    <w:rsid w:val="00533EB2"/>
    <w:rsid w:val="00536031"/>
    <w:rsid w:val="00542DC8"/>
    <w:rsid w:val="0054621D"/>
    <w:rsid w:val="00547A28"/>
    <w:rsid w:val="005628C4"/>
    <w:rsid w:val="005B4236"/>
    <w:rsid w:val="005C00E2"/>
    <w:rsid w:val="005D0BD8"/>
    <w:rsid w:val="005E2EFD"/>
    <w:rsid w:val="005E4B4D"/>
    <w:rsid w:val="005F0DCA"/>
    <w:rsid w:val="006227B6"/>
    <w:rsid w:val="00632FE1"/>
    <w:rsid w:val="00640233"/>
    <w:rsid w:val="00643097"/>
    <w:rsid w:val="00650EE3"/>
    <w:rsid w:val="006573A5"/>
    <w:rsid w:val="0066796D"/>
    <w:rsid w:val="00684B19"/>
    <w:rsid w:val="006933D9"/>
    <w:rsid w:val="0069389B"/>
    <w:rsid w:val="00697931"/>
    <w:rsid w:val="006A3530"/>
    <w:rsid w:val="006B18F8"/>
    <w:rsid w:val="006B654B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77D4"/>
    <w:rsid w:val="009A0A05"/>
    <w:rsid w:val="009A1A22"/>
    <w:rsid w:val="009A2FDA"/>
    <w:rsid w:val="009C1999"/>
    <w:rsid w:val="009C5056"/>
    <w:rsid w:val="009D54EB"/>
    <w:rsid w:val="009D6D2E"/>
    <w:rsid w:val="009E5E3F"/>
    <w:rsid w:val="009E7FD2"/>
    <w:rsid w:val="00A06646"/>
    <w:rsid w:val="00A11657"/>
    <w:rsid w:val="00A23AE6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B070DE"/>
    <w:rsid w:val="00B245D5"/>
    <w:rsid w:val="00B25169"/>
    <w:rsid w:val="00B25A08"/>
    <w:rsid w:val="00B303A1"/>
    <w:rsid w:val="00B414A1"/>
    <w:rsid w:val="00B94006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D31AEA"/>
    <w:rsid w:val="00D4013A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EBF0-2F54-4E2E-A997-F848F93B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2017-12-20T07:54:00Z</cp:lastPrinted>
  <dcterms:created xsi:type="dcterms:W3CDTF">2017-09-15T09:55:00Z</dcterms:created>
  <dcterms:modified xsi:type="dcterms:W3CDTF">2017-12-20T11:05:00Z</dcterms:modified>
</cp:coreProperties>
</file>